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B4" w:rsidRDefault="009E6C54" w:rsidP="009E6C54">
      <w:pPr>
        <w:jc w:val="right"/>
        <w:rPr>
          <w:rFonts w:ascii="Garamond" w:hAnsi="Garamond"/>
          <w:sz w:val="24"/>
          <w:szCs w:val="24"/>
        </w:rPr>
      </w:pPr>
      <w:r>
        <w:rPr>
          <w:rFonts w:ascii="Garamond" w:hAnsi="Garamond"/>
          <w:sz w:val="24"/>
          <w:szCs w:val="24"/>
        </w:rPr>
        <w:t>Name ______________________________</w:t>
      </w:r>
      <w:proofErr w:type="gramStart"/>
      <w:r>
        <w:rPr>
          <w:rFonts w:ascii="Garamond" w:hAnsi="Garamond"/>
          <w:sz w:val="24"/>
          <w:szCs w:val="24"/>
        </w:rPr>
        <w:t>_  Date</w:t>
      </w:r>
      <w:proofErr w:type="gramEnd"/>
      <w:r>
        <w:rPr>
          <w:rFonts w:ascii="Garamond" w:hAnsi="Garamond"/>
          <w:sz w:val="24"/>
          <w:szCs w:val="24"/>
        </w:rPr>
        <w:t>______ Block_____</w:t>
      </w:r>
    </w:p>
    <w:p w:rsidR="009E6C54" w:rsidRDefault="009E6C54" w:rsidP="009E6C54">
      <w:pPr>
        <w:rPr>
          <w:rFonts w:ascii="Garamond" w:hAnsi="Garamond"/>
          <w:sz w:val="24"/>
          <w:szCs w:val="24"/>
        </w:rPr>
      </w:pPr>
      <w:r>
        <w:rPr>
          <w:rFonts w:ascii="Garamond" w:hAnsi="Garamond"/>
          <w:sz w:val="24"/>
          <w:szCs w:val="24"/>
        </w:rPr>
        <w:t>Membership Jigsaw Readings Handout</w:t>
      </w:r>
    </w:p>
    <w:p w:rsidR="009E6C54" w:rsidRDefault="009E6C54" w:rsidP="009E6C54">
      <w:pPr>
        <w:jc w:val="left"/>
        <w:rPr>
          <w:rFonts w:ascii="Garamond" w:hAnsi="Garamond"/>
          <w:sz w:val="24"/>
          <w:szCs w:val="24"/>
        </w:rPr>
      </w:pPr>
      <w:r>
        <w:rPr>
          <w:rFonts w:ascii="Garamond" w:hAnsi="Garamond"/>
          <w:sz w:val="24"/>
          <w:szCs w:val="24"/>
        </w:rPr>
        <w:t xml:space="preserve"> “Race and Science” pg. 13</w:t>
      </w:r>
    </w:p>
    <w:tbl>
      <w:tblPr>
        <w:tblStyle w:val="TableGrid"/>
        <w:tblW w:w="0" w:type="auto"/>
        <w:tblLook w:val="04A0" w:firstRow="1" w:lastRow="0" w:firstColumn="1" w:lastColumn="0" w:noHBand="0" w:noVBand="1"/>
      </w:tblPr>
      <w:tblGrid>
        <w:gridCol w:w="11016"/>
      </w:tblGrid>
      <w:tr w:rsidR="009E6C54" w:rsidTr="009E6C54">
        <w:tc>
          <w:tcPr>
            <w:tcW w:w="11016" w:type="dxa"/>
          </w:tcPr>
          <w:p w:rsidR="009E6C54" w:rsidRDefault="009E6C54" w:rsidP="009E6C54">
            <w:pPr>
              <w:jc w:val="left"/>
              <w:rPr>
                <w:rFonts w:ascii="Garamond" w:hAnsi="Garamond"/>
                <w:sz w:val="24"/>
                <w:szCs w:val="24"/>
              </w:rPr>
            </w:pPr>
            <w:r>
              <w:rPr>
                <w:rFonts w:ascii="Garamond" w:hAnsi="Garamond"/>
                <w:sz w:val="24"/>
                <w:szCs w:val="24"/>
              </w:rPr>
              <w:t>Gist Statement:</w:t>
            </w: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r>
              <w:rPr>
                <w:rFonts w:ascii="Garamond" w:hAnsi="Garamond"/>
                <w:sz w:val="24"/>
                <w:szCs w:val="24"/>
              </w:rPr>
              <w:t>Connection Question</w:t>
            </w:r>
            <w:r w:rsidR="00756F93">
              <w:rPr>
                <w:rFonts w:ascii="Garamond" w:hAnsi="Garamond"/>
                <w:sz w:val="24"/>
                <w:szCs w:val="24"/>
              </w:rPr>
              <w:t>s</w:t>
            </w:r>
            <w:r>
              <w:rPr>
                <w:rFonts w:ascii="Garamond" w:hAnsi="Garamond"/>
                <w:sz w:val="24"/>
                <w:szCs w:val="24"/>
              </w:rPr>
              <w:t xml:space="preserve">: </w:t>
            </w:r>
          </w:p>
          <w:p w:rsidR="009E6C54" w:rsidRPr="00756F93" w:rsidRDefault="009E6C54" w:rsidP="009E6C54">
            <w:pPr>
              <w:jc w:val="left"/>
              <w:rPr>
                <w:rFonts w:ascii="Garamond" w:hAnsi="Garamond"/>
                <w:i/>
                <w:sz w:val="24"/>
                <w:szCs w:val="24"/>
              </w:rPr>
            </w:pPr>
            <w:r>
              <w:rPr>
                <w:rFonts w:ascii="Garamond" w:hAnsi="Garamond"/>
                <w:sz w:val="24"/>
                <w:szCs w:val="24"/>
              </w:rPr>
              <w:t>Susie Phipps was told that she wasn’t who she thought she was.  Who told her that?  How important is that opinion?</w:t>
            </w:r>
            <w:r w:rsidR="00756F93">
              <w:rPr>
                <w:rFonts w:ascii="Garamond" w:hAnsi="Garamond"/>
                <w:sz w:val="24"/>
                <w:szCs w:val="24"/>
              </w:rPr>
              <w:t xml:space="preserve">  Connect this to what you learned from </w:t>
            </w:r>
            <w:r w:rsidR="00756F93" w:rsidRPr="00756F93">
              <w:rPr>
                <w:rFonts w:ascii="Garamond" w:hAnsi="Garamond"/>
                <w:i/>
                <w:sz w:val="24"/>
                <w:szCs w:val="24"/>
              </w:rPr>
              <w:t>The Bear That Wasn’t.</w:t>
            </w:r>
          </w:p>
          <w:p w:rsidR="009E6C54" w:rsidRDefault="009E6C54" w:rsidP="009E6C54">
            <w:pPr>
              <w:jc w:val="left"/>
              <w:rPr>
                <w:rFonts w:ascii="Garamond" w:hAnsi="Garamond"/>
                <w:sz w:val="24"/>
                <w:szCs w:val="24"/>
              </w:rPr>
            </w:pPr>
          </w:p>
          <w:p w:rsidR="00756F93" w:rsidRDefault="00756F93"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9E6C54" w:rsidRDefault="009E6C54" w:rsidP="009E6C54">
            <w:pPr>
              <w:jc w:val="left"/>
              <w:rPr>
                <w:rFonts w:ascii="Garamond" w:hAnsi="Garamond"/>
                <w:sz w:val="24"/>
                <w:szCs w:val="24"/>
              </w:rPr>
            </w:pPr>
          </w:p>
        </w:tc>
      </w:tr>
    </w:tbl>
    <w:p w:rsidR="009E6C54" w:rsidRDefault="009E6C54" w:rsidP="009E6C54">
      <w:pPr>
        <w:jc w:val="left"/>
        <w:rPr>
          <w:rFonts w:ascii="Garamond" w:hAnsi="Garamond"/>
          <w:sz w:val="24"/>
          <w:szCs w:val="24"/>
        </w:rPr>
      </w:pPr>
    </w:p>
    <w:p w:rsidR="009E6C54" w:rsidRDefault="00FC7012" w:rsidP="009E6C54">
      <w:pPr>
        <w:jc w:val="left"/>
        <w:rPr>
          <w:rFonts w:ascii="Garamond" w:hAnsi="Garamond"/>
          <w:sz w:val="24"/>
          <w:szCs w:val="24"/>
        </w:rPr>
      </w:pPr>
      <w:r>
        <w:rPr>
          <w:rFonts w:ascii="Garamond" w:hAnsi="Garamond"/>
          <w:sz w:val="24"/>
          <w:szCs w:val="24"/>
        </w:rPr>
        <w:t xml:space="preserve">“Stereotyping” </w:t>
      </w:r>
      <w:bookmarkStart w:id="0" w:name="_GoBack"/>
      <w:bookmarkEnd w:id="0"/>
      <w:r w:rsidR="009E6C54">
        <w:rPr>
          <w:rFonts w:ascii="Garamond" w:hAnsi="Garamond"/>
          <w:sz w:val="24"/>
          <w:szCs w:val="24"/>
        </w:rPr>
        <w:t>pg. 16</w:t>
      </w:r>
    </w:p>
    <w:tbl>
      <w:tblPr>
        <w:tblStyle w:val="TableGrid"/>
        <w:tblW w:w="0" w:type="auto"/>
        <w:tblLook w:val="04A0" w:firstRow="1" w:lastRow="0" w:firstColumn="1" w:lastColumn="0" w:noHBand="0" w:noVBand="1"/>
      </w:tblPr>
      <w:tblGrid>
        <w:gridCol w:w="11016"/>
      </w:tblGrid>
      <w:tr w:rsidR="009E6C54" w:rsidTr="009E6C54">
        <w:tc>
          <w:tcPr>
            <w:tcW w:w="11016" w:type="dxa"/>
          </w:tcPr>
          <w:p w:rsidR="009E6C54" w:rsidRDefault="009E6C54" w:rsidP="009E6C54">
            <w:pPr>
              <w:jc w:val="left"/>
              <w:rPr>
                <w:rFonts w:ascii="Garamond" w:hAnsi="Garamond"/>
                <w:sz w:val="24"/>
                <w:szCs w:val="24"/>
              </w:rPr>
            </w:pPr>
            <w:r>
              <w:rPr>
                <w:rFonts w:ascii="Garamond" w:hAnsi="Garamond"/>
                <w:sz w:val="24"/>
                <w:szCs w:val="24"/>
              </w:rPr>
              <w:t>Gist Statement:</w:t>
            </w: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r>
              <w:rPr>
                <w:rFonts w:ascii="Garamond" w:hAnsi="Garamond"/>
                <w:sz w:val="24"/>
                <w:szCs w:val="24"/>
              </w:rPr>
              <w:t>Connection Question</w:t>
            </w:r>
            <w:r w:rsidR="00756F93">
              <w:rPr>
                <w:rFonts w:ascii="Garamond" w:hAnsi="Garamond"/>
                <w:sz w:val="24"/>
                <w:szCs w:val="24"/>
              </w:rPr>
              <w:t>s</w:t>
            </w:r>
            <w:r>
              <w:rPr>
                <w:rFonts w:ascii="Garamond" w:hAnsi="Garamond"/>
                <w:sz w:val="24"/>
                <w:szCs w:val="24"/>
              </w:rPr>
              <w:t xml:space="preserve">: </w:t>
            </w:r>
          </w:p>
          <w:p w:rsidR="009E6C54" w:rsidRDefault="009E6C54" w:rsidP="009E6C54">
            <w:pPr>
              <w:jc w:val="left"/>
              <w:rPr>
                <w:rFonts w:ascii="Garamond" w:hAnsi="Garamond"/>
                <w:sz w:val="24"/>
                <w:szCs w:val="24"/>
              </w:rPr>
            </w:pPr>
            <w:r>
              <w:rPr>
                <w:rFonts w:ascii="Garamond" w:hAnsi="Garamond"/>
                <w:sz w:val="24"/>
                <w:szCs w:val="24"/>
              </w:rPr>
              <w:t xml:space="preserve">How </w:t>
            </w:r>
            <w:proofErr w:type="gramStart"/>
            <w:r>
              <w:rPr>
                <w:rFonts w:ascii="Garamond" w:hAnsi="Garamond"/>
                <w:sz w:val="24"/>
                <w:szCs w:val="24"/>
              </w:rPr>
              <w:t>did Joseph Suina’s</w:t>
            </w:r>
            <w:proofErr w:type="gramEnd"/>
            <w:r>
              <w:rPr>
                <w:rFonts w:ascii="Garamond" w:hAnsi="Garamond"/>
                <w:sz w:val="24"/>
                <w:szCs w:val="24"/>
              </w:rPr>
              <w:t xml:space="preserve"> experiences with stereotypes as a Marine shape him?  How did Jeanne </w:t>
            </w:r>
            <w:proofErr w:type="spellStart"/>
            <w:proofErr w:type="gramStart"/>
            <w:r>
              <w:rPr>
                <w:rFonts w:ascii="Garamond" w:hAnsi="Garamond"/>
                <w:sz w:val="24"/>
                <w:szCs w:val="24"/>
              </w:rPr>
              <w:t>Parks’s</w:t>
            </w:r>
            <w:proofErr w:type="spellEnd"/>
            <w:r>
              <w:rPr>
                <w:rFonts w:ascii="Garamond" w:hAnsi="Garamond"/>
                <w:sz w:val="24"/>
                <w:szCs w:val="24"/>
              </w:rPr>
              <w:t xml:space="preserve">  experiences</w:t>
            </w:r>
            <w:proofErr w:type="gramEnd"/>
            <w:r>
              <w:rPr>
                <w:rFonts w:ascii="Garamond" w:hAnsi="Garamond"/>
                <w:sz w:val="24"/>
                <w:szCs w:val="24"/>
              </w:rPr>
              <w:t xml:space="preserve"> </w:t>
            </w:r>
            <w:r w:rsidR="00756F93">
              <w:rPr>
                <w:rFonts w:ascii="Garamond" w:hAnsi="Garamond"/>
                <w:sz w:val="24"/>
                <w:szCs w:val="24"/>
              </w:rPr>
              <w:t xml:space="preserve">with stereotypes shape her? </w:t>
            </w:r>
          </w:p>
          <w:p w:rsidR="009E6C54" w:rsidRDefault="009E6C54" w:rsidP="009E6C54">
            <w:pPr>
              <w:jc w:val="left"/>
              <w:rPr>
                <w:rFonts w:ascii="Garamond" w:hAnsi="Garamond"/>
                <w:sz w:val="24"/>
                <w:szCs w:val="24"/>
              </w:rPr>
            </w:pPr>
          </w:p>
          <w:p w:rsidR="009E6C54" w:rsidRDefault="009E6C54"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9E6C54" w:rsidRDefault="009E6C54" w:rsidP="009E6C54">
            <w:pPr>
              <w:jc w:val="left"/>
              <w:rPr>
                <w:rFonts w:ascii="Garamond" w:hAnsi="Garamond"/>
                <w:sz w:val="24"/>
                <w:szCs w:val="24"/>
              </w:rPr>
            </w:pPr>
          </w:p>
        </w:tc>
      </w:tr>
    </w:tbl>
    <w:p w:rsidR="009E6C54" w:rsidRDefault="009E6C54" w:rsidP="009E6C54">
      <w:pPr>
        <w:jc w:val="left"/>
        <w:rPr>
          <w:rFonts w:ascii="Garamond" w:hAnsi="Garamond"/>
          <w:sz w:val="24"/>
          <w:szCs w:val="24"/>
        </w:rPr>
      </w:pPr>
    </w:p>
    <w:p w:rsidR="00756F93" w:rsidRDefault="00756F93" w:rsidP="009E6C54">
      <w:pPr>
        <w:jc w:val="left"/>
        <w:rPr>
          <w:rFonts w:ascii="Garamond" w:hAnsi="Garamond"/>
          <w:sz w:val="24"/>
          <w:szCs w:val="24"/>
        </w:rPr>
      </w:pPr>
      <w:r>
        <w:rPr>
          <w:rFonts w:ascii="Garamond" w:hAnsi="Garamond"/>
          <w:sz w:val="24"/>
          <w:szCs w:val="24"/>
        </w:rPr>
        <w:lastRenderedPageBreak/>
        <w:t>“Fear” pg. 25</w:t>
      </w:r>
    </w:p>
    <w:tbl>
      <w:tblPr>
        <w:tblStyle w:val="TableGrid"/>
        <w:tblW w:w="0" w:type="auto"/>
        <w:tblLook w:val="04A0" w:firstRow="1" w:lastRow="0" w:firstColumn="1" w:lastColumn="0" w:noHBand="0" w:noVBand="1"/>
      </w:tblPr>
      <w:tblGrid>
        <w:gridCol w:w="11016"/>
      </w:tblGrid>
      <w:tr w:rsidR="00756F93" w:rsidTr="00756F93">
        <w:tc>
          <w:tcPr>
            <w:tcW w:w="11016" w:type="dxa"/>
          </w:tcPr>
          <w:p w:rsidR="00756F93" w:rsidRDefault="00756F93" w:rsidP="009E6C54">
            <w:pPr>
              <w:jc w:val="left"/>
              <w:rPr>
                <w:rFonts w:ascii="Garamond" w:hAnsi="Garamond"/>
                <w:sz w:val="24"/>
                <w:szCs w:val="24"/>
              </w:rPr>
            </w:pPr>
            <w:r>
              <w:rPr>
                <w:rFonts w:ascii="Garamond" w:hAnsi="Garamond"/>
                <w:sz w:val="24"/>
                <w:szCs w:val="24"/>
              </w:rPr>
              <w:t>Gist Statement:</w:t>
            </w: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r>
              <w:rPr>
                <w:rFonts w:ascii="Garamond" w:hAnsi="Garamond"/>
                <w:sz w:val="24"/>
                <w:szCs w:val="24"/>
              </w:rPr>
              <w:t>Connection Questions:</w:t>
            </w:r>
          </w:p>
          <w:p w:rsidR="00756F93" w:rsidRDefault="00756F93" w:rsidP="009E6C54">
            <w:pPr>
              <w:jc w:val="left"/>
              <w:rPr>
                <w:rFonts w:ascii="Garamond" w:hAnsi="Garamond"/>
                <w:sz w:val="24"/>
                <w:szCs w:val="24"/>
              </w:rPr>
            </w:pPr>
            <w:r>
              <w:rPr>
                <w:rFonts w:ascii="Garamond" w:hAnsi="Garamond"/>
                <w:sz w:val="24"/>
                <w:szCs w:val="24"/>
              </w:rPr>
              <w:t xml:space="preserve">Describe Frankie and explain how his the classmates felt about him?  Why did they feel scared for him and feel shamed when the teacher manhandled him?  </w:t>
            </w:r>
            <w:r w:rsidR="00BD2291">
              <w:rPr>
                <w:rFonts w:ascii="Garamond" w:hAnsi="Garamond"/>
                <w:sz w:val="24"/>
                <w:szCs w:val="24"/>
              </w:rPr>
              <w:t>How would you have felt?  Explain.</w:t>
            </w: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p w:rsidR="00756F93" w:rsidRDefault="00756F93" w:rsidP="009E6C54">
            <w:pPr>
              <w:jc w:val="left"/>
              <w:rPr>
                <w:rFonts w:ascii="Garamond" w:hAnsi="Garamond"/>
                <w:sz w:val="24"/>
                <w:szCs w:val="24"/>
              </w:rPr>
            </w:pPr>
          </w:p>
        </w:tc>
      </w:tr>
    </w:tbl>
    <w:p w:rsidR="00756F93" w:rsidRDefault="00756F93" w:rsidP="009E6C54">
      <w:pPr>
        <w:jc w:val="left"/>
        <w:rPr>
          <w:rFonts w:ascii="Garamond" w:hAnsi="Garamond"/>
          <w:sz w:val="24"/>
          <w:szCs w:val="24"/>
        </w:rPr>
      </w:pPr>
    </w:p>
    <w:p w:rsidR="00BD2291" w:rsidRDefault="00BD2291" w:rsidP="009E6C54">
      <w:pPr>
        <w:jc w:val="left"/>
        <w:rPr>
          <w:rFonts w:ascii="Garamond" w:hAnsi="Garamond"/>
          <w:sz w:val="24"/>
          <w:szCs w:val="24"/>
        </w:rPr>
      </w:pPr>
      <w:r>
        <w:rPr>
          <w:rFonts w:ascii="Garamond" w:hAnsi="Garamond"/>
          <w:sz w:val="24"/>
          <w:szCs w:val="24"/>
        </w:rPr>
        <w:t>“Conformity and Identity” pg. 31</w:t>
      </w:r>
    </w:p>
    <w:tbl>
      <w:tblPr>
        <w:tblStyle w:val="TableGrid"/>
        <w:tblW w:w="0" w:type="auto"/>
        <w:tblLook w:val="04A0" w:firstRow="1" w:lastRow="0" w:firstColumn="1" w:lastColumn="0" w:noHBand="0" w:noVBand="1"/>
      </w:tblPr>
      <w:tblGrid>
        <w:gridCol w:w="11016"/>
      </w:tblGrid>
      <w:tr w:rsidR="00BD2291" w:rsidTr="00BD2291">
        <w:tc>
          <w:tcPr>
            <w:tcW w:w="11016" w:type="dxa"/>
          </w:tcPr>
          <w:p w:rsidR="00BD2291" w:rsidRDefault="00BD2291" w:rsidP="009E6C54">
            <w:pPr>
              <w:jc w:val="left"/>
              <w:rPr>
                <w:rFonts w:ascii="Garamond" w:hAnsi="Garamond"/>
                <w:sz w:val="24"/>
                <w:szCs w:val="24"/>
              </w:rPr>
            </w:pPr>
            <w:r>
              <w:rPr>
                <w:rFonts w:ascii="Garamond" w:hAnsi="Garamond"/>
                <w:sz w:val="24"/>
                <w:szCs w:val="24"/>
              </w:rPr>
              <w:t>Gist Statement:</w:t>
            </w: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r>
              <w:rPr>
                <w:rFonts w:ascii="Garamond" w:hAnsi="Garamond"/>
                <w:sz w:val="24"/>
                <w:szCs w:val="24"/>
              </w:rPr>
              <w:t>Connection Questions:</w:t>
            </w:r>
          </w:p>
          <w:p w:rsidR="00BD2291" w:rsidRDefault="00BD2291" w:rsidP="009E6C54">
            <w:pPr>
              <w:jc w:val="left"/>
              <w:rPr>
                <w:rFonts w:ascii="Garamond" w:hAnsi="Garamond"/>
                <w:sz w:val="24"/>
                <w:szCs w:val="24"/>
              </w:rPr>
            </w:pPr>
            <w:r>
              <w:rPr>
                <w:rFonts w:ascii="Garamond" w:hAnsi="Garamond"/>
                <w:sz w:val="24"/>
                <w:szCs w:val="24"/>
              </w:rPr>
              <w:t>Why is it so painful for Brandon Carson to come to terms with his identity?  What does this suggest about the way society shapes an individual’s identity?  What does this suggest about the difficulty in going against a group?</w:t>
            </w: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tc>
      </w:tr>
    </w:tbl>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r>
        <w:rPr>
          <w:rFonts w:ascii="Garamond" w:hAnsi="Garamond"/>
          <w:sz w:val="24"/>
          <w:szCs w:val="24"/>
        </w:rPr>
        <w:lastRenderedPageBreak/>
        <w:t>“In the Barrio”</w:t>
      </w:r>
      <w:r w:rsidR="00355158">
        <w:rPr>
          <w:rFonts w:ascii="Garamond" w:hAnsi="Garamond"/>
          <w:sz w:val="24"/>
          <w:szCs w:val="24"/>
        </w:rPr>
        <w:t xml:space="preserve"> pg. 33</w:t>
      </w:r>
    </w:p>
    <w:tbl>
      <w:tblPr>
        <w:tblStyle w:val="TableGrid"/>
        <w:tblW w:w="0" w:type="auto"/>
        <w:tblLook w:val="04A0" w:firstRow="1" w:lastRow="0" w:firstColumn="1" w:lastColumn="0" w:noHBand="0" w:noVBand="1"/>
      </w:tblPr>
      <w:tblGrid>
        <w:gridCol w:w="11016"/>
      </w:tblGrid>
      <w:tr w:rsidR="00BD2291" w:rsidTr="00BD2291">
        <w:tc>
          <w:tcPr>
            <w:tcW w:w="11016" w:type="dxa"/>
          </w:tcPr>
          <w:p w:rsidR="00BD2291" w:rsidRDefault="00BD2291" w:rsidP="009E6C54">
            <w:pPr>
              <w:jc w:val="left"/>
              <w:rPr>
                <w:rFonts w:ascii="Garamond" w:hAnsi="Garamond"/>
                <w:sz w:val="24"/>
                <w:szCs w:val="24"/>
              </w:rPr>
            </w:pPr>
            <w:r>
              <w:rPr>
                <w:rFonts w:ascii="Garamond" w:hAnsi="Garamond"/>
                <w:sz w:val="24"/>
                <w:szCs w:val="24"/>
              </w:rPr>
              <w:t>Gist Statement:</w:t>
            </w: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92492A" w:rsidRDefault="0092492A"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r>
              <w:rPr>
                <w:rFonts w:ascii="Garamond" w:hAnsi="Garamond"/>
                <w:sz w:val="24"/>
                <w:szCs w:val="24"/>
              </w:rPr>
              <w:t>Connection Questions:</w:t>
            </w:r>
          </w:p>
          <w:p w:rsidR="00BD2291" w:rsidRDefault="00BD2291" w:rsidP="009E6C54">
            <w:pPr>
              <w:jc w:val="left"/>
              <w:rPr>
                <w:rFonts w:ascii="Garamond" w:hAnsi="Garamond"/>
                <w:sz w:val="24"/>
                <w:szCs w:val="24"/>
              </w:rPr>
            </w:pPr>
            <w:r>
              <w:rPr>
                <w:rFonts w:ascii="Garamond" w:hAnsi="Garamond"/>
                <w:sz w:val="24"/>
                <w:szCs w:val="24"/>
              </w:rPr>
              <w:t>Why does Amelia Valdez feel safe within the borders of the barrio?  How do stereotypes shape her life and iso</w:t>
            </w:r>
            <w:r w:rsidR="0092492A">
              <w:rPr>
                <w:rFonts w:ascii="Garamond" w:hAnsi="Garamond"/>
                <w:sz w:val="24"/>
                <w:szCs w:val="24"/>
              </w:rPr>
              <w:t>late her?  How can this isolation be broken?</w:t>
            </w: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92492A" w:rsidRDefault="0092492A"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p w:rsidR="00BD2291" w:rsidRDefault="00BD2291" w:rsidP="009E6C54">
            <w:pPr>
              <w:jc w:val="left"/>
              <w:rPr>
                <w:rFonts w:ascii="Garamond" w:hAnsi="Garamond"/>
                <w:sz w:val="24"/>
                <w:szCs w:val="24"/>
              </w:rPr>
            </w:pPr>
          </w:p>
        </w:tc>
      </w:tr>
    </w:tbl>
    <w:p w:rsidR="00BD2291" w:rsidRDefault="00BD2291" w:rsidP="009E6C54">
      <w:pPr>
        <w:jc w:val="left"/>
        <w:rPr>
          <w:rFonts w:ascii="Garamond" w:hAnsi="Garamond"/>
          <w:sz w:val="24"/>
          <w:szCs w:val="24"/>
        </w:rPr>
      </w:pPr>
    </w:p>
    <w:p w:rsidR="0092492A" w:rsidRDefault="0092492A" w:rsidP="009E6C54">
      <w:pPr>
        <w:jc w:val="left"/>
        <w:rPr>
          <w:rFonts w:ascii="Garamond" w:hAnsi="Garamond"/>
          <w:sz w:val="24"/>
          <w:szCs w:val="24"/>
        </w:rPr>
      </w:pPr>
      <w:r>
        <w:rPr>
          <w:rFonts w:ascii="Garamond" w:hAnsi="Garamond"/>
          <w:sz w:val="24"/>
          <w:szCs w:val="24"/>
        </w:rPr>
        <w:t>“The Power of Separation” pg. 37</w:t>
      </w:r>
    </w:p>
    <w:tbl>
      <w:tblPr>
        <w:tblStyle w:val="TableGrid"/>
        <w:tblW w:w="0" w:type="auto"/>
        <w:tblLook w:val="04A0" w:firstRow="1" w:lastRow="0" w:firstColumn="1" w:lastColumn="0" w:noHBand="0" w:noVBand="1"/>
      </w:tblPr>
      <w:tblGrid>
        <w:gridCol w:w="11016"/>
      </w:tblGrid>
      <w:tr w:rsidR="0092492A" w:rsidTr="0092492A">
        <w:tc>
          <w:tcPr>
            <w:tcW w:w="11016" w:type="dxa"/>
          </w:tcPr>
          <w:p w:rsidR="0092492A" w:rsidRDefault="0092492A" w:rsidP="009E6C54">
            <w:pPr>
              <w:jc w:val="left"/>
              <w:rPr>
                <w:rFonts w:ascii="Garamond" w:hAnsi="Garamond"/>
                <w:sz w:val="24"/>
                <w:szCs w:val="24"/>
              </w:rPr>
            </w:pPr>
            <w:r>
              <w:rPr>
                <w:rFonts w:ascii="Garamond" w:hAnsi="Garamond"/>
                <w:sz w:val="24"/>
                <w:szCs w:val="24"/>
              </w:rPr>
              <w:t>Gist Statement:</w:t>
            </w: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r>
              <w:rPr>
                <w:rFonts w:ascii="Garamond" w:hAnsi="Garamond"/>
                <w:sz w:val="24"/>
                <w:szCs w:val="24"/>
              </w:rPr>
              <w:t>Connection Questions:</w:t>
            </w:r>
          </w:p>
          <w:p w:rsidR="0092492A" w:rsidRDefault="0092492A" w:rsidP="009E6C54">
            <w:pPr>
              <w:jc w:val="left"/>
              <w:rPr>
                <w:rFonts w:ascii="Garamond" w:hAnsi="Garamond"/>
                <w:sz w:val="24"/>
                <w:szCs w:val="24"/>
              </w:rPr>
            </w:pPr>
            <w:r>
              <w:rPr>
                <w:rFonts w:ascii="Garamond" w:hAnsi="Garamond"/>
                <w:sz w:val="24"/>
                <w:szCs w:val="24"/>
              </w:rPr>
              <w:t xml:space="preserve">Why didn’t Daniel Dyer see anything immoral about segregation?  What caused him to change the way he viewed African Americans?  He </w:t>
            </w:r>
            <w:proofErr w:type="gramStart"/>
            <w:r>
              <w:rPr>
                <w:rFonts w:ascii="Garamond" w:hAnsi="Garamond"/>
                <w:sz w:val="24"/>
                <w:szCs w:val="24"/>
              </w:rPr>
              <w:t>explains,</w:t>
            </w:r>
            <w:proofErr w:type="gramEnd"/>
            <w:r>
              <w:rPr>
                <w:rFonts w:ascii="Garamond" w:hAnsi="Garamond"/>
                <w:sz w:val="24"/>
                <w:szCs w:val="24"/>
              </w:rPr>
              <w:t xml:space="preserve"> that his skin was “neither a badge of merit nor a divine birthmark.  It was simply an accident.”  What does he mean?</w:t>
            </w: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tc>
      </w:tr>
    </w:tbl>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r>
        <w:rPr>
          <w:rFonts w:ascii="Garamond" w:hAnsi="Garamond"/>
          <w:sz w:val="24"/>
          <w:szCs w:val="24"/>
        </w:rPr>
        <w:lastRenderedPageBreak/>
        <w:t>“What’s in a Name” pg. 40</w:t>
      </w:r>
    </w:p>
    <w:tbl>
      <w:tblPr>
        <w:tblStyle w:val="TableGrid"/>
        <w:tblW w:w="0" w:type="auto"/>
        <w:tblLook w:val="04A0" w:firstRow="1" w:lastRow="0" w:firstColumn="1" w:lastColumn="0" w:noHBand="0" w:noVBand="1"/>
      </w:tblPr>
      <w:tblGrid>
        <w:gridCol w:w="11016"/>
      </w:tblGrid>
      <w:tr w:rsidR="0092492A" w:rsidTr="0092492A">
        <w:tc>
          <w:tcPr>
            <w:tcW w:w="11016" w:type="dxa"/>
          </w:tcPr>
          <w:p w:rsidR="0092492A" w:rsidRDefault="0092492A" w:rsidP="009E6C54">
            <w:pPr>
              <w:jc w:val="left"/>
              <w:rPr>
                <w:rFonts w:ascii="Garamond" w:hAnsi="Garamond"/>
                <w:sz w:val="24"/>
                <w:szCs w:val="24"/>
              </w:rPr>
            </w:pPr>
            <w:r>
              <w:rPr>
                <w:rFonts w:ascii="Garamond" w:hAnsi="Garamond"/>
                <w:sz w:val="24"/>
                <w:szCs w:val="24"/>
              </w:rPr>
              <w:t>Gist Statement:</w:t>
            </w: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r>
              <w:rPr>
                <w:rFonts w:ascii="Garamond" w:hAnsi="Garamond"/>
                <w:sz w:val="24"/>
                <w:szCs w:val="24"/>
              </w:rPr>
              <w:t xml:space="preserve">Connection Questions: </w:t>
            </w:r>
          </w:p>
          <w:p w:rsidR="0092492A" w:rsidRDefault="00842EAE" w:rsidP="009E6C54">
            <w:pPr>
              <w:jc w:val="left"/>
              <w:rPr>
                <w:rFonts w:ascii="Garamond" w:hAnsi="Garamond"/>
                <w:sz w:val="24"/>
                <w:szCs w:val="24"/>
              </w:rPr>
            </w:pPr>
            <w:r>
              <w:rPr>
                <w:rFonts w:ascii="Garamond" w:hAnsi="Garamond"/>
                <w:sz w:val="24"/>
                <w:szCs w:val="24"/>
              </w:rPr>
              <w:t xml:space="preserve">What power do words have?  How do you think what Miriam’s mother tells her changes the way Miriam feels about what happened to her?  How does having an understanding of the past shape the way we see ourselves?  </w:t>
            </w: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92492A" w:rsidRDefault="0092492A" w:rsidP="009E6C54">
            <w:pPr>
              <w:jc w:val="left"/>
              <w:rPr>
                <w:rFonts w:ascii="Garamond" w:hAnsi="Garamond"/>
                <w:sz w:val="24"/>
                <w:szCs w:val="24"/>
              </w:rPr>
            </w:pPr>
          </w:p>
          <w:p w:rsidR="0092492A" w:rsidRDefault="0092492A" w:rsidP="009E6C54">
            <w:pPr>
              <w:jc w:val="left"/>
              <w:rPr>
                <w:rFonts w:ascii="Garamond" w:hAnsi="Garamond"/>
                <w:sz w:val="24"/>
                <w:szCs w:val="24"/>
              </w:rPr>
            </w:pPr>
          </w:p>
        </w:tc>
      </w:tr>
    </w:tbl>
    <w:p w:rsidR="0092492A" w:rsidRDefault="0092492A" w:rsidP="009E6C54">
      <w:pPr>
        <w:jc w:val="left"/>
        <w:rPr>
          <w:rFonts w:ascii="Garamond" w:hAnsi="Garamond"/>
          <w:sz w:val="24"/>
          <w:szCs w:val="24"/>
        </w:rPr>
      </w:pPr>
    </w:p>
    <w:p w:rsidR="00842EAE" w:rsidRDefault="00842EAE" w:rsidP="009E6C54">
      <w:pPr>
        <w:jc w:val="left"/>
        <w:rPr>
          <w:rFonts w:ascii="Garamond" w:hAnsi="Garamond"/>
          <w:sz w:val="24"/>
          <w:szCs w:val="24"/>
        </w:rPr>
      </w:pPr>
      <w:r>
        <w:rPr>
          <w:rFonts w:ascii="Garamond" w:hAnsi="Garamond"/>
          <w:sz w:val="24"/>
          <w:szCs w:val="24"/>
        </w:rPr>
        <w:t>“The Effects of Religious Stereotyping:” pg. 43</w:t>
      </w:r>
    </w:p>
    <w:tbl>
      <w:tblPr>
        <w:tblStyle w:val="TableGrid"/>
        <w:tblW w:w="0" w:type="auto"/>
        <w:tblLook w:val="04A0" w:firstRow="1" w:lastRow="0" w:firstColumn="1" w:lastColumn="0" w:noHBand="0" w:noVBand="1"/>
      </w:tblPr>
      <w:tblGrid>
        <w:gridCol w:w="11016"/>
      </w:tblGrid>
      <w:tr w:rsidR="00842EAE" w:rsidTr="00842EAE">
        <w:tc>
          <w:tcPr>
            <w:tcW w:w="11016" w:type="dxa"/>
          </w:tcPr>
          <w:p w:rsidR="00842EAE" w:rsidRDefault="00842EAE" w:rsidP="009E6C54">
            <w:pPr>
              <w:jc w:val="left"/>
              <w:rPr>
                <w:rFonts w:ascii="Garamond" w:hAnsi="Garamond"/>
                <w:sz w:val="24"/>
                <w:szCs w:val="24"/>
              </w:rPr>
            </w:pPr>
            <w:r>
              <w:rPr>
                <w:rFonts w:ascii="Garamond" w:hAnsi="Garamond"/>
                <w:sz w:val="24"/>
                <w:szCs w:val="24"/>
              </w:rPr>
              <w:t>Gist Statement:</w:t>
            </w: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r>
              <w:rPr>
                <w:rFonts w:ascii="Garamond" w:hAnsi="Garamond"/>
                <w:sz w:val="24"/>
                <w:szCs w:val="24"/>
              </w:rPr>
              <w:t>Connection Questions:</w:t>
            </w:r>
          </w:p>
          <w:p w:rsidR="00842EAE" w:rsidRDefault="008507EF" w:rsidP="009E6C54">
            <w:pPr>
              <w:jc w:val="left"/>
              <w:rPr>
                <w:rFonts w:ascii="Garamond" w:hAnsi="Garamond"/>
                <w:sz w:val="24"/>
                <w:szCs w:val="24"/>
              </w:rPr>
            </w:pPr>
            <w:r>
              <w:rPr>
                <w:rFonts w:ascii="Garamond" w:hAnsi="Garamond"/>
                <w:sz w:val="24"/>
                <w:szCs w:val="24"/>
              </w:rPr>
              <w:t xml:space="preserve">What did Major Robert Bailey Solomon’s discover about most of the people that were anti-Semitic in his military service?  What was surprising to Chana </w:t>
            </w:r>
            <w:proofErr w:type="spellStart"/>
            <w:r>
              <w:rPr>
                <w:rFonts w:ascii="Garamond" w:hAnsi="Garamond"/>
                <w:sz w:val="24"/>
                <w:szCs w:val="24"/>
              </w:rPr>
              <w:t>Schoenberger’s</w:t>
            </w:r>
            <w:proofErr w:type="spellEnd"/>
            <w:r>
              <w:rPr>
                <w:rFonts w:ascii="Garamond" w:hAnsi="Garamond"/>
                <w:sz w:val="24"/>
                <w:szCs w:val="24"/>
              </w:rPr>
              <w:t xml:space="preserve"> about the beliefs of the other students at the National Science Foundation Young Scholars program?  </w:t>
            </w:r>
            <w:r w:rsidR="00842EAE">
              <w:rPr>
                <w:rFonts w:ascii="Garamond" w:hAnsi="Garamond"/>
                <w:sz w:val="24"/>
                <w:szCs w:val="24"/>
              </w:rPr>
              <w:t xml:space="preserve">How are ignorance, misunderstanding, prejudice, and hatred related?  </w:t>
            </w: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507EF" w:rsidRDefault="008507EF" w:rsidP="009E6C54">
            <w:pPr>
              <w:jc w:val="left"/>
              <w:rPr>
                <w:rFonts w:ascii="Garamond" w:hAnsi="Garamond"/>
                <w:sz w:val="24"/>
                <w:szCs w:val="24"/>
              </w:rPr>
            </w:pPr>
          </w:p>
          <w:p w:rsidR="008507EF" w:rsidRDefault="008507EF" w:rsidP="009E6C54">
            <w:pPr>
              <w:jc w:val="left"/>
              <w:rPr>
                <w:rFonts w:ascii="Garamond" w:hAnsi="Garamond"/>
                <w:sz w:val="24"/>
                <w:szCs w:val="24"/>
              </w:rPr>
            </w:pPr>
          </w:p>
          <w:p w:rsidR="008507EF" w:rsidRDefault="008507EF" w:rsidP="009E6C54">
            <w:pPr>
              <w:jc w:val="left"/>
              <w:rPr>
                <w:rFonts w:ascii="Garamond" w:hAnsi="Garamond"/>
                <w:sz w:val="24"/>
                <w:szCs w:val="24"/>
              </w:rPr>
            </w:pPr>
          </w:p>
          <w:p w:rsidR="008507EF" w:rsidRDefault="008507EF"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p w:rsidR="00842EAE" w:rsidRDefault="00842EAE" w:rsidP="009E6C54">
            <w:pPr>
              <w:jc w:val="left"/>
              <w:rPr>
                <w:rFonts w:ascii="Garamond" w:hAnsi="Garamond"/>
                <w:sz w:val="24"/>
                <w:szCs w:val="24"/>
              </w:rPr>
            </w:pPr>
          </w:p>
        </w:tc>
      </w:tr>
    </w:tbl>
    <w:p w:rsidR="00842EAE" w:rsidRPr="009E6C54" w:rsidRDefault="00842EAE" w:rsidP="009E6C54">
      <w:pPr>
        <w:jc w:val="left"/>
        <w:rPr>
          <w:rFonts w:ascii="Garamond" w:hAnsi="Garamond"/>
          <w:sz w:val="24"/>
          <w:szCs w:val="24"/>
        </w:rPr>
      </w:pPr>
    </w:p>
    <w:sectPr w:rsidR="00842EAE" w:rsidRPr="009E6C54" w:rsidSect="009E6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54"/>
    <w:rsid w:val="002C72B4"/>
    <w:rsid w:val="00355158"/>
    <w:rsid w:val="00756F93"/>
    <w:rsid w:val="00842EAE"/>
    <w:rsid w:val="008507EF"/>
    <w:rsid w:val="0092492A"/>
    <w:rsid w:val="009E6C54"/>
    <w:rsid w:val="00BD2291"/>
    <w:rsid w:val="00FB26B0"/>
    <w:rsid w:val="00FB3C8E"/>
    <w:rsid w:val="00FC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0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0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Roberts</dc:creator>
  <cp:lastModifiedBy>Jamie Roberts</cp:lastModifiedBy>
  <cp:revision>3</cp:revision>
  <cp:lastPrinted>2015-08-07T16:02:00Z</cp:lastPrinted>
  <dcterms:created xsi:type="dcterms:W3CDTF">2015-07-16T18:31:00Z</dcterms:created>
  <dcterms:modified xsi:type="dcterms:W3CDTF">2015-08-07T20:47:00Z</dcterms:modified>
</cp:coreProperties>
</file>